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24"/>
          <w:szCs w:val="24"/>
        </w:rPr>
        <w:t>Потребкооперативы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обязаны уведомлять налоговые органы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полном внесении паевых взносов</w:t>
      </w:r>
    </w:p>
    <w:bookmarkEnd w:id="0"/>
    <w:p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Межрайонная</w:t>
      </w:r>
      <w:proofErr w:type="gramEnd"/>
      <w:r>
        <w:rPr>
          <w:rFonts w:ascii="Arial" w:hAnsi="Arial" w:cs="Arial"/>
          <w:sz w:val="24"/>
          <w:szCs w:val="24"/>
        </w:rPr>
        <w:t xml:space="preserve"> ИФНС России №29 по Республике Башкортостан информирует, что с 1 июля 2021 года вступил в силу пункт 9.5 статьи 85 Налогового кодекса Российской Федерации, который обязывает потребительские кооперативы сообщать в налоговый орган о полном внесении паевых взносов за недвижимое имущество своими членами и иными лицами, имеющими право на накопления. Информация предоставляется в налоговый орган по месту своего нахождения в течение 10 дней со дня полного внесения соответствующего паевого взноса.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уведомления утверждена приказом ФНС России от 28.01.2021 № ЕД-7-21/107@ (</w:t>
      </w:r>
      <w:proofErr w:type="gramStart"/>
      <w:r>
        <w:rPr>
          <w:rFonts w:ascii="Arial" w:hAnsi="Arial" w:cs="Arial"/>
          <w:sz w:val="24"/>
          <w:szCs w:val="24"/>
        </w:rPr>
        <w:t>зарегистрирован</w:t>
      </w:r>
      <w:proofErr w:type="gramEnd"/>
      <w:r>
        <w:rPr>
          <w:rFonts w:ascii="Arial" w:hAnsi="Arial" w:cs="Arial"/>
          <w:sz w:val="24"/>
          <w:szCs w:val="24"/>
        </w:rPr>
        <w:t xml:space="preserve"> Минюстом России 01.03.2021, № 62635).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 член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>
        <w:rPr>
          <w:rFonts w:ascii="Arial" w:hAnsi="Arial" w:cs="Arial"/>
          <w:sz w:val="24"/>
          <w:szCs w:val="24"/>
        </w:rPr>
        <w:t>паенакопления</w:t>
      </w:r>
      <w:proofErr w:type="spellEnd"/>
      <w:r>
        <w:rPr>
          <w:rFonts w:ascii="Arial" w:hAnsi="Arial" w:cs="Arial"/>
          <w:sz w:val="24"/>
          <w:szCs w:val="24"/>
        </w:rPr>
        <w:t>, полностью внесшие свой паевой взнос за квартиру, дачу, гараж, иное помещение, предоставленное этим лицам кооперативом, приобретает право собственности на указанное имущество. Причем право на данный объект возникает с момента внесения паевого взноса в полном объеме, а не с момента государственной регистрации права. Поэтому в составе формы Сведений, предусмотрено заполнение информации о собственнике (организации, физическом лице) объекта недвижимого имущества, в отношении которого полностью внесены паевые взносы.</w:t>
      </w:r>
    </w:p>
    <w:p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Межрайонная</w:t>
      </w:r>
      <w:proofErr w:type="gramEnd"/>
      <w:r>
        <w:rPr>
          <w:rFonts w:ascii="Arial" w:hAnsi="Arial" w:cs="Arial"/>
          <w:sz w:val="24"/>
          <w:szCs w:val="24"/>
        </w:rPr>
        <w:t xml:space="preserve"> ИФНС России №29 по Республике Башкортостан</w:t>
      </w: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0FC5"/>
    <w:multiLevelType w:val="hybridMultilevel"/>
    <w:tmpl w:val="3DE62D6A"/>
    <w:lvl w:ilvl="0" w:tplc="065E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544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EEEEE"/>
                        <w:right w:val="none" w:sz="0" w:space="0" w:color="auto"/>
                      </w:divBdr>
                      <w:divsChild>
                        <w:div w:id="78488639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15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Гузель Зинаровна</dc:creator>
  <cp:lastModifiedBy>Гараева Гузель Зинаровна</cp:lastModifiedBy>
  <cp:revision>2</cp:revision>
  <cp:lastPrinted>2021-07-19T12:20:00Z</cp:lastPrinted>
  <dcterms:created xsi:type="dcterms:W3CDTF">2021-07-19T12:36:00Z</dcterms:created>
  <dcterms:modified xsi:type="dcterms:W3CDTF">2021-07-19T12:36:00Z</dcterms:modified>
</cp:coreProperties>
</file>